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485" w:rsidRPr="001A2485" w:rsidRDefault="001A2485" w:rsidP="001A2485">
      <w:pPr>
        <w:spacing w:after="0" w:line="360" w:lineRule="auto"/>
        <w:ind w:left="-426" w:right="-428"/>
        <w:jc w:val="center"/>
        <w:rPr>
          <w:b/>
        </w:rPr>
      </w:pPr>
      <w:r w:rsidRPr="001A2485">
        <w:rPr>
          <w:b/>
        </w:rPr>
        <w:t>THE UNIVERSITY OF WESTERN AUSTRALIA</w:t>
      </w:r>
    </w:p>
    <w:p w:rsidR="001A2485" w:rsidRPr="001A2485" w:rsidRDefault="001A2485" w:rsidP="001A2485">
      <w:pPr>
        <w:spacing w:after="0" w:line="360" w:lineRule="auto"/>
        <w:ind w:left="-426" w:right="-428"/>
        <w:jc w:val="center"/>
        <w:rPr>
          <w:b/>
        </w:rPr>
      </w:pPr>
      <w:r w:rsidRPr="001A2485">
        <w:rPr>
          <w:b/>
        </w:rPr>
        <w:t>THE GRADUATE SCHOOL OF EDUCATION</w:t>
      </w:r>
    </w:p>
    <w:p w:rsidR="001A2485" w:rsidRPr="001A2485" w:rsidRDefault="001A2485" w:rsidP="001A2485">
      <w:pPr>
        <w:spacing w:after="0" w:line="360" w:lineRule="auto"/>
        <w:ind w:left="-426" w:right="-428"/>
        <w:jc w:val="center"/>
        <w:rPr>
          <w:b/>
        </w:rPr>
      </w:pPr>
      <w:r w:rsidRPr="001A2485">
        <w:rPr>
          <w:b/>
        </w:rPr>
        <w:t>SCHOOL PSYCHOLOGY 8478</w:t>
      </w:r>
    </w:p>
    <w:p w:rsidR="001A2485" w:rsidRDefault="001A2485" w:rsidP="001A2485">
      <w:pPr>
        <w:spacing w:line="360" w:lineRule="auto"/>
        <w:ind w:left="-426" w:right="-428"/>
        <w:rPr>
          <w:i/>
        </w:rPr>
      </w:pPr>
    </w:p>
    <w:p w:rsidR="001A2485" w:rsidRPr="001A2485" w:rsidRDefault="001A2485" w:rsidP="001A2485">
      <w:pPr>
        <w:spacing w:line="360" w:lineRule="auto"/>
        <w:ind w:left="-426" w:right="-428"/>
        <w:rPr>
          <w:i/>
        </w:rPr>
      </w:pPr>
      <w:r w:rsidRPr="001A2485">
        <w:rPr>
          <w:i/>
        </w:rPr>
        <w:t>Current Behaviour Assessment Instruments</w:t>
      </w:r>
    </w:p>
    <w:p w:rsidR="001A2485" w:rsidRPr="001A2485" w:rsidRDefault="001A2485" w:rsidP="001A2485">
      <w:pPr>
        <w:spacing w:line="360" w:lineRule="auto"/>
        <w:ind w:left="-426" w:right="-428"/>
      </w:pPr>
      <w:r w:rsidRPr="001A2485">
        <w:t>There are a number of methods used to assess the behaviour of children including direct observation, structured interview, observation of play scenarios, and the use of behaviour rating scales (Silva, Alpert, Pouget, Silva, Trosper et al., 2005).  As noted by Aschenbrand, Angelosante, and Kendall (2005), different assessment tools have their own practical implications.  For example, structured interviews, direct observation and observation of play scenarios require reliable interviewers and reliable observers, and are time intensive.  Many of the scales for assessing externalising behaviours have been developed for research use with limited or no integration into the clinical setting (Collett, Ohan, &amp; Myers, 2003b) or the educational setting.  Behaviour rating scales are an empirically based assessment instrument frequently used to obtain data on a child’s behaviour problem (Konold, Walthall, &amp; Pianta, 2004).  Biederman, Faraone, Doyle, Lehman, Kraus et al. (1993) found that their most common use is as part of a multidimensional assessment in the diagnosis of child psychopathology and they are recognised as an efficient and effective means to gather information describing children’s behaviours (Knoff, 1995).  The information gathered by behaviour rating scales is quantifiable and organised systematically and most widely used instruments provide both reliable and valid measures of behaviour although they are not an objective measure of behaviour given they involve the rater’s perception of the child’s behaviour (McConaughy &amp; Ritter, 1995).  Although most rating scales are reliable and valid, the correlation between different rater’s has been found to be quite low.  For example, a large meta-analysis by Achenbach, McConaughy, and Howell (1987) involving 269 data samples revealed a parent-teacher correlation of .28.  The correlation between parents (mother v father) was higher at .60 and between teachers was .64.  The low correlation between parents and teachers suggests that the instruments are unreliable in terms of describing the child’s attributes in relation to the context in which they occur, that is, the child’s behaviour tends to be situation specific (Konold, Walthall, &amp; Pianta, 2004).</w:t>
      </w:r>
    </w:p>
    <w:p w:rsidR="001A2485" w:rsidRPr="001A2485" w:rsidRDefault="001A2485" w:rsidP="001A2485">
      <w:pPr>
        <w:spacing w:line="360" w:lineRule="auto"/>
        <w:ind w:left="-426" w:right="-428"/>
      </w:pPr>
      <w:r w:rsidRPr="001A2485">
        <w:t xml:space="preserve">Behaviour rating scales are most often used by clinicians to assist in identifying a clinical psychopathology or to assist with differential diagnosis with clinic referred children.  In most instances, the clinicians are external to the school and the information they obtain from the parents and teachers is used within the clinical setting.  </w:t>
      </w:r>
    </w:p>
    <w:p w:rsidR="001A2485" w:rsidRPr="001A2485" w:rsidRDefault="001A2485" w:rsidP="001A2485">
      <w:pPr>
        <w:spacing w:line="360" w:lineRule="auto"/>
        <w:ind w:left="-426" w:right="-428"/>
      </w:pPr>
    </w:p>
    <w:p w:rsidR="001A2485" w:rsidRPr="001A2485" w:rsidRDefault="001A2485" w:rsidP="001A2485">
      <w:pPr>
        <w:spacing w:line="360" w:lineRule="auto"/>
        <w:ind w:left="-426" w:right="-428"/>
      </w:pPr>
      <w:r w:rsidRPr="001A2485">
        <w:lastRenderedPageBreak/>
        <w:t>Two of the more commonly used and researched behaviour rating scale instruments are the Child Behaviour Checklist (CBCL/4-18; Achenbach, 1986: Achenbach &amp; Rescorla, 2000) and the Conner’s Rating Scales-Revised (Conners, 1997).  Both of these rating scales are broadband scales in that they attempt to measure a variety of behaviour problems (e.g., ADHD, Conduct Problems, and Social Problems etc) whereas a narrowband behavioural instrument measures a specific difficulty (e.g., ADHD, aggression) (Tripp, Schaughency, &amp; Clarke, 2006).  Whilst both these instruments are considered broadband, they also provide narrowband behavioural profiles of behaviour.</w:t>
      </w:r>
    </w:p>
    <w:p w:rsidR="001A2485" w:rsidRPr="001A2485" w:rsidRDefault="001A2485" w:rsidP="001A2485">
      <w:pPr>
        <w:spacing w:line="360" w:lineRule="auto"/>
        <w:ind w:left="-426" w:right="-428"/>
        <w:rPr>
          <w:i/>
        </w:rPr>
      </w:pPr>
      <w:proofErr w:type="gramStart"/>
      <w:r w:rsidRPr="001A2485">
        <w:rPr>
          <w:i/>
        </w:rPr>
        <w:t>The Child Behaviour Checklist (CBCL).</w:t>
      </w:r>
      <w:proofErr w:type="gramEnd"/>
    </w:p>
    <w:p w:rsidR="001A2485" w:rsidRPr="001A2485" w:rsidRDefault="001A2485" w:rsidP="001A2485">
      <w:pPr>
        <w:spacing w:line="360" w:lineRule="auto"/>
        <w:ind w:left="-426" w:right="-428"/>
      </w:pPr>
      <w:r w:rsidRPr="001A2485">
        <w:t xml:space="preserve">The CBCL consists of 118 behaviour problem items which measure behaviour over eight syndrome subscales; Withdrawn, Somatic Complaints, Anxious/Depressed, Social Problems, Thought Problems, Attention Problems, Delinquent Behaviour, and Aggressive Behaviour.  In addition, the CBCL produces two broadband scales of Internalising and Externalising problems by the combination of the eight sub-scales above.  The CBCL is available in three versions: parent version, teacher version (TRF) and a self-report version (YSR) to be completed by the child or adolescent.  The CBCL has been found to be a reliable instrument, although there is considerable item overlap and it includes items that are redundant across subscales and do not provide a measure of symptoms (Lengua, Sadowski, Freidrich, &amp; Fisher, 2001).  Lengua, Sadowski, Freidrich, and Fisher (2001) pointed out that one of the problems of the CBCL relates to “the inclusion of items that are not measures of symptomatology or conceptually related to the dimensions, the combination of conceptually distinct dimensions, and item overlap” (p. 684).  That is, some of the items included in the CBCL forms were included on an empirical basis and not rational criteria.  Lengua, Sadowski, Freidrich, and Fisher (2001) also point out that that expert raters and a confirmatory factor analysis identified several items as being poor measures of symptomatology and other items that were more robust measures of other characteristics.  For example, “showing off/clowning”, “stubborn/sullen”, and “unusually loud” are included in the aggressive behaviour dimension, but Lengua, Sadowski, Freidrich, and Fisher (2001) query whether they are actual measures of aggression.  Similarly, the attention problems subscale includes items such as “acts too young” and “nervous, tense” which may well belong in attention problems, but they do not define the construct. </w:t>
      </w:r>
    </w:p>
    <w:p w:rsidR="001A2485" w:rsidRDefault="001A2485">
      <w:pPr>
        <w:rPr>
          <w:i/>
        </w:rPr>
      </w:pPr>
      <w:r>
        <w:rPr>
          <w:i/>
        </w:rPr>
        <w:br w:type="page"/>
      </w:r>
    </w:p>
    <w:p w:rsidR="001A2485" w:rsidRPr="001A2485" w:rsidRDefault="001A2485" w:rsidP="001A2485">
      <w:pPr>
        <w:spacing w:line="360" w:lineRule="auto"/>
        <w:ind w:left="-426" w:right="-428"/>
        <w:rPr>
          <w:i/>
        </w:rPr>
      </w:pPr>
      <w:proofErr w:type="gramStart"/>
      <w:r w:rsidRPr="001A2485">
        <w:rPr>
          <w:i/>
        </w:rPr>
        <w:lastRenderedPageBreak/>
        <w:t>The Conners Rating Scales-Revised (CRS-Revised).</w:t>
      </w:r>
      <w:proofErr w:type="gramEnd"/>
    </w:p>
    <w:p w:rsidR="001A2485" w:rsidRPr="001A2485" w:rsidRDefault="001A2485" w:rsidP="001A2485">
      <w:pPr>
        <w:spacing w:line="360" w:lineRule="auto"/>
        <w:ind w:left="-426" w:right="-428"/>
      </w:pPr>
      <w:r w:rsidRPr="001A2485">
        <w:t xml:space="preserve">The Conners Rating Scales-Revised (1997) is a redeveloped version of the original instrument developed in 1970 (Conners, 1970) and is presented in both a parent (CPRS - 27 or 80 items) and teacher (CTRS- 28 or 59 items) version.  The instrument is a DSM-IV based instrument and is used in research and clinical settings (Collett, Ohan, &amp; Myers, 2003a).  The long version of the Conners Parent Rating Scale (CPRS) assesses children from 3 to 17 years and is composed of 10 scales: Oppositional, Cognitive Problems/ Inattention, Hyperactivity, Anxious-Shy, Perfectionism, Social Problems, Psychosomatic, Conners’ Global Index, </w:t>
      </w:r>
      <w:r w:rsidRPr="001A2485">
        <w:rPr>
          <w:iCs/>
        </w:rPr>
        <w:t>DSM-IV</w:t>
      </w:r>
      <w:r w:rsidRPr="001A2485">
        <w:t xml:space="preserve"> Symptom Subscales, and an ADHD Index.  The short version of the CPRS assesses a subset of behavioural dimensions: Oppositional, Cognitive Problems/Inattention, Hyperactivity, and an ADHD Index.  </w:t>
      </w:r>
    </w:p>
    <w:p w:rsidR="001A2485" w:rsidRPr="001A2485" w:rsidRDefault="001A2485" w:rsidP="001A2485">
      <w:pPr>
        <w:spacing w:line="360" w:lineRule="auto"/>
        <w:ind w:left="-426" w:right="-428"/>
      </w:pPr>
      <w:r w:rsidRPr="001A2485">
        <w:t xml:space="preserve"> The Connors Teacher Rating Scale (CTRS) assesses behaviour problems in children aged from 4 to 17 years old.  The instrument consists of 10 scales: Oppositional, Cognitive Problems/ Inattention, Hyperactivity, Anxious-Shy, Perfectionism, Social Problems, Psychosomatic, Conners’ Global Index, </w:t>
      </w:r>
      <w:r w:rsidRPr="001A2485">
        <w:rPr>
          <w:iCs/>
        </w:rPr>
        <w:t>DSM-IV</w:t>
      </w:r>
      <w:r w:rsidRPr="001A2485">
        <w:t xml:space="preserve"> Symptom Subscales, and an ADHD Index.  As with the CPRS (short version) the CTRS (short version) assesses a subset of behavioural dimensions: Oppositional, Cognitive Problems/Inattention, Hyperactivity, and an ADHD Index.</w:t>
      </w:r>
    </w:p>
    <w:p w:rsidR="001A2485" w:rsidRPr="001A2485" w:rsidRDefault="001A2485" w:rsidP="001A2485">
      <w:pPr>
        <w:spacing w:line="360" w:lineRule="auto"/>
        <w:ind w:left="-426" w:right="-428"/>
      </w:pPr>
      <w:r w:rsidRPr="001A2485">
        <w:t xml:space="preserve">The CRS-Revised is used primarily to screen for ADHD (Connors, Sitarenios, Parker, &amp; Epstein, 1998; Collett, Ohan, Myers, 2003a) and its scales do not map onto all the DSM-IV behaviours (Silva, Alpert, Pouget, Silva, Trosper et al., 2005).  With the CRS-R’s strength laying in the identification of ADHD, the comorbid subscales which only include a few items, exhibit limited diagnostic sensitivity and provide little aid in treatment planning (Collett, Ohan, Myers, 2003a).   However, unlike the CBCL, the CRS-Revised identifies two domains associated with ADHD, namely inattention and hyperactivity/impulsivity, whereas the CBCL has a single factor labelled Hyperactivity.  On the other hand, the CBCL includes behaviours that the CRS-Revised does not, namely, behaviours relating to the subscales Depressed, Immature, Sexual, and Uncommunicative.  </w:t>
      </w:r>
    </w:p>
    <w:p w:rsidR="0068455B" w:rsidRDefault="001A2485" w:rsidP="001A2485">
      <w:pPr>
        <w:spacing w:line="360" w:lineRule="auto"/>
        <w:ind w:left="-426" w:right="-428"/>
      </w:pPr>
      <w:r w:rsidRPr="001A2485">
        <w:t xml:space="preserve">Behaviour rating scales are most often used by clinicians to assist in identifying a clinical psychopathology or to assist with differential diagnosis with clinic referred children.  In most instances the clinicians are external to the school and the information they obtain from the parents and teachers is used within the clinical setting.  The CBCL (Achenbach &amp; Rescorla, 2000) and the Connors Rating Scales-Revised (Connors, 1997), although they are psychometrically questionable (Lengua, Sadowski, Freidrich, &amp; Fisher, 2001; Konold, Walthall, &amp; Pianta, 2004), are examples of two of the most widely used instruments.  </w:t>
      </w:r>
    </w:p>
    <w:p w:rsidR="00651841" w:rsidRPr="00651841" w:rsidRDefault="00651841" w:rsidP="001A2485">
      <w:pPr>
        <w:spacing w:line="360" w:lineRule="auto"/>
        <w:ind w:left="-426" w:right="-428"/>
        <w:rPr>
          <w:i/>
        </w:rPr>
      </w:pPr>
      <w:r w:rsidRPr="00651841">
        <w:rPr>
          <w:i/>
        </w:rPr>
        <w:lastRenderedPageBreak/>
        <w:t>Behaviour Assessment Scale for Children 2</w:t>
      </w:r>
    </w:p>
    <w:p w:rsidR="00651841" w:rsidRDefault="00651841" w:rsidP="001A2485">
      <w:pPr>
        <w:spacing w:line="360" w:lineRule="auto"/>
        <w:ind w:left="-426" w:right="-428"/>
      </w:pPr>
      <w:r>
        <w:t xml:space="preserve">The BASC 2 consists of 160 items for the evaluation of behaviour in children and young adults.  The BASC 2 consists of 5 components which may be used individually; two rating scales (teacher and parent), self report scale, a structured developmental history form, and a classroom observation form.  The BASC 2 allows for the differential diagnosis of </w:t>
      </w:r>
      <w:r w:rsidR="00357396">
        <w:t xml:space="preserve">children with behavioural and emotional difficulties.  The BASC 2 is a broadband scale in that it assesses externalising problems (hyperactivity, aggression, </w:t>
      </w:r>
      <w:proofErr w:type="gramStart"/>
      <w:r w:rsidR="00357396">
        <w:t>conduct</w:t>
      </w:r>
      <w:proofErr w:type="gramEnd"/>
      <w:r w:rsidR="00357396">
        <w:t xml:space="preserve"> problems), internalising problems (anxiety, depression, somatisation) and Atypicality</w:t>
      </w:r>
      <w:r w:rsidR="00C64D67">
        <w:t xml:space="preserve"> (Atypicality, </w:t>
      </w:r>
      <w:r w:rsidR="009436F6">
        <w:t>withdrawal</w:t>
      </w:r>
      <w:r w:rsidR="00C64D67">
        <w:t>, attention problems).</w:t>
      </w:r>
      <w:r w:rsidR="009436F6">
        <w:t xml:space="preserve">  </w:t>
      </w:r>
      <w:proofErr w:type="gramStart"/>
      <w:r w:rsidR="009436F6">
        <w:t>the</w:t>
      </w:r>
      <w:proofErr w:type="gramEnd"/>
      <w:r w:rsidR="009436F6">
        <w:t xml:space="preserve"> BASC 2 had been well validated.  </w:t>
      </w:r>
    </w:p>
    <w:p w:rsidR="008C29DE" w:rsidRDefault="008C29DE" w:rsidP="001A2485">
      <w:pPr>
        <w:spacing w:line="360" w:lineRule="auto"/>
        <w:ind w:left="-426" w:right="-428"/>
      </w:pPr>
      <w:r>
        <w:t xml:space="preserve">The BASC 2 forms provide an F Index score which is an indicator of the respondents tendency to be either excessively negative about the child’s behaviour, etc.  </w:t>
      </w:r>
      <w:proofErr w:type="gramStart"/>
      <w:r>
        <w:t>also</w:t>
      </w:r>
      <w:proofErr w:type="gramEnd"/>
      <w:r>
        <w:t>, the BASC 2 includes an L Index which provides an indicator of the child’s tendency to be excessively positive about themselves.  Finally, the instrument includes a V Index which provides a general ch</w:t>
      </w:r>
      <w:r w:rsidR="00A84040">
        <w:t>e</w:t>
      </w:r>
      <w:r>
        <w:t>ck on the validity of scores in general.</w:t>
      </w:r>
    </w:p>
    <w:sectPr w:rsidR="008C29DE" w:rsidSect="001A2485">
      <w:pgSz w:w="11906" w:h="16838"/>
      <w:pgMar w:top="851" w:right="1418"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oofState w:spelling="clean" w:grammar="clean"/>
  <w:defaultTabStop w:val="720"/>
  <w:drawingGridHorizontalSpacing w:val="120"/>
  <w:displayHorizontalDrawingGridEvery w:val="2"/>
  <w:characterSpacingControl w:val="doNotCompress"/>
  <w:compat/>
  <w:rsids>
    <w:rsidRoot w:val="001A2485"/>
    <w:rsid w:val="0001015F"/>
    <w:rsid w:val="00031DE4"/>
    <w:rsid w:val="001A2485"/>
    <w:rsid w:val="002D02B7"/>
    <w:rsid w:val="002E42E6"/>
    <w:rsid w:val="00357396"/>
    <w:rsid w:val="003D1EB2"/>
    <w:rsid w:val="003D6AEF"/>
    <w:rsid w:val="0040660A"/>
    <w:rsid w:val="0046364F"/>
    <w:rsid w:val="004B5CB3"/>
    <w:rsid w:val="00585E0E"/>
    <w:rsid w:val="00651841"/>
    <w:rsid w:val="00655F56"/>
    <w:rsid w:val="0068455B"/>
    <w:rsid w:val="006A66EF"/>
    <w:rsid w:val="006F0912"/>
    <w:rsid w:val="00701FD6"/>
    <w:rsid w:val="0073119B"/>
    <w:rsid w:val="00807172"/>
    <w:rsid w:val="00812293"/>
    <w:rsid w:val="00856B36"/>
    <w:rsid w:val="0088294A"/>
    <w:rsid w:val="00892041"/>
    <w:rsid w:val="008C29DE"/>
    <w:rsid w:val="008D0DBA"/>
    <w:rsid w:val="008F273F"/>
    <w:rsid w:val="009436F6"/>
    <w:rsid w:val="00A84040"/>
    <w:rsid w:val="00AE5BDB"/>
    <w:rsid w:val="00B91F99"/>
    <w:rsid w:val="00BA2F93"/>
    <w:rsid w:val="00BC6F44"/>
    <w:rsid w:val="00BD32BD"/>
    <w:rsid w:val="00C64D67"/>
    <w:rsid w:val="00DD260D"/>
    <w:rsid w:val="00E70F0F"/>
    <w:rsid w:val="00E75E2B"/>
    <w:rsid w:val="00EA094B"/>
    <w:rsid w:val="00EC5143"/>
    <w:rsid w:val="00FB01BD"/>
    <w:rsid w:val="00FD671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heme="minorHAnsi" w:hAnsi="Cambria" w:cstheme="minorBidi"/>
        <w:sz w:val="24"/>
        <w:szCs w:val="24"/>
        <w:lang w:val="en-AU" w:eastAsia="en-US" w:bidi="ar-SA"/>
      </w:rPr>
    </w:rPrDefault>
    <w:pPrDefault>
      <w:pPr>
        <w:spacing w:after="200" w:line="48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55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Graduate School of Education</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kglasgow</dc:creator>
  <cp:keywords/>
  <dc:description/>
  <cp:lastModifiedBy>kglasgow</cp:lastModifiedBy>
  <cp:revision>3</cp:revision>
  <cp:lastPrinted>2011-05-11T00:57:00Z</cp:lastPrinted>
  <dcterms:created xsi:type="dcterms:W3CDTF">2011-05-11T00:28:00Z</dcterms:created>
  <dcterms:modified xsi:type="dcterms:W3CDTF">2011-05-11T01:14:00Z</dcterms:modified>
</cp:coreProperties>
</file>